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b/>
          <w:vertAlign w:val="superscript"/>
        </w:rPr>
        <w:t xml:space="preserve">???</w:t>
      </w:r>
      <w:r>
        <w:rPr>
          <w:vertAlign w:val="superscript"/>
        </w:rPr>
        <w:t xml:space="preserve">,</w:t>
      </w:r>
      <w:r>
        <w:rPr>
          <w:b/>
          <w:vertAlign w:val="superscript"/>
        </w:rPr>
        <w:t xml:space="preserve">??</w:t>
      </w:r>
      <w:r>
        <w:rPr>
          <w:vertAlign w:val="superscript"/>
        </w:rPr>
        <w:t xml:space="preserve">–2</w:t>
      </w:r>
      <w:r>
        <w:t xml:space="preserve"> </w:t>
      </w:r>
      <w:r>
        <w:t xml:space="preserve">and annual CO</w:t>
      </w:r>
      <w:r>
        <w:rPr>
          <w:vertAlign w:val="subscript"/>
        </w:rPr>
        <w:t xml:space="preserve">2</w:t>
      </w:r>
      <w:r>
        <w:t xml:space="preserve"> </w:t>
      </w:r>
      <w:r>
        <w:t xml:space="preserve">sequestration</w:t>
      </w:r>
      <w:r>
        <w:rPr>
          <w:b/>
          <w:vertAlign w:val="superscript"/>
        </w:rPr>
        <w:t xml:space="preserve">???</w:t>
      </w:r>
      <w:r>
        <w:rPr>
          <w:vertAlign w:val="superscript"/>
        </w:rPr>
        <w:t xml:space="preserve">,</w:t>
      </w:r>
      <w:r>
        <w:rPr>
          <w:b/>
          <w:vertAlign w:val="superscript"/>
        </w:rPr>
        <w:t xml:space="preserve">??</w:t>
      </w:r>
      <w:r>
        <w:rPr>
          <w:vertAlign w:val="superscript"/>
        </w:rPr>
        <w:t xml:space="preserve">,3</w:t>
      </w:r>
      <w:r>
        <w:t xml:space="preserve">.</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4</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5,6</w:t>
      </w:r>
      <w:r>
        <w:t xml:space="preserve">, and with evidence that forest CO</w:t>
      </w:r>
      <w:r>
        <w:rPr>
          <w:vertAlign w:val="subscript"/>
        </w:rPr>
        <w:t xml:space="preserve">2</w:t>
      </w:r>
      <w:r>
        <w:t xml:space="preserve"> </w:t>
      </w:r>
      <w:r>
        <w:t xml:space="preserve">sequestration is sink-limited</w:t>
      </w:r>
      <w:r>
        <w:rPr>
          <w:vertAlign w:val="superscript"/>
        </w:rPr>
        <w:t xml:space="preserve">6</w:t>
      </w:r>
      <w:r>
        <w:t xml:space="preserve">.</w:t>
      </w:r>
      <w:r>
        <w:t xml:space="preserve"> </w:t>
      </w:r>
      <w:r>
        <w:t xml:space="preserve">They contrast, however, with the expectation</w:t>
      </w:r>
      <w:r>
        <w:t xml:space="preserve"> </w:t>
      </w:r>
      <w:r>
        <w:rPr>
          <w:i/>
        </w:rPr>
        <w:t xml:space="preserve">in most models</w:t>
      </w:r>
      <w:r>
        <w:rPr>
          <w:vertAlign w:val="superscript"/>
          <w:i/>
        </w:rPr>
        <w:t xml:space="preserve">6</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bookmarkEnd w:id="21"/>
    <w:bookmarkStart w:id="23" w:name="introduction"/>
    <w:p>
      <w:pPr>
        <w:pStyle w:val="Heading1"/>
      </w:pPr>
      <w:r>
        <w:t xml:space="preserve">(Introduction)</w:t>
      </w:r>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7</w:t>
      </w:r>
      <w:r>
        <w:t xml:space="preserve">. However, their future under the current era of rapid change is uncertain</w:t>
      </w:r>
      <w:r>
        <w:rPr>
          <w:vertAlign w:val="superscript"/>
        </w:rPr>
        <w:t xml:space="preserve">8</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9</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b/>
          <w:vertAlign w:val="superscript"/>
        </w:rPr>
        <w:t xml:space="preserve">???</w:t>
      </w:r>
      <w:r>
        <w:rPr>
          <w:vertAlign w:val="superscript"/>
        </w:rPr>
        <w:t xml:space="preserve">,5</w:t>
      </w:r>
      <w:r>
        <w:t xml:space="preserve">, apparently because of sink-limitation to CO</w:t>
      </w:r>
      <w:r>
        <w:rPr>
          <w:vertAlign w:val="subscript"/>
        </w:rPr>
        <w:t xml:space="preserve">2</w:t>
      </w:r>
      <w:r>
        <w:t xml:space="preserve"> </w:t>
      </w:r>
      <w:r>
        <w:t xml:space="preserve">sequestration</w:t>
      </w:r>
      <w:r>
        <w:rPr>
          <w:vertAlign w:val="superscript"/>
        </w:rPr>
        <w:t xml:space="preserve">6</w:t>
      </w:r>
      <w:r>
        <w:t xml:space="preserve">, whereas warmer summer and autumn temperatures delay leaf senescence</w:t>
      </w:r>
      <w:r>
        <w:rPr>
          <w:b/>
          <w:vertAlign w:val="superscript"/>
        </w:rPr>
        <w:t xml:space="preserve">???</w:t>
      </w:r>
      <w:r>
        <w:rPr>
          <w:vertAlign w:val="superscript"/>
        </w:rPr>
        <w:t xml:space="preserve">,</w:t>
      </w:r>
      <w:r>
        <w:rPr>
          <w:b/>
          <w:vertAlign w:val="superscript"/>
        </w:rPr>
        <w:t xml:space="preserve">??</w:t>
      </w:r>
      <w:r>
        <w:rPr>
          <w:vertAlign w:val="superscript"/>
        </w:rPr>
        <w:t xml:space="preserve">–3,5</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6</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6</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
        </w:rPr>
        <w:t xml:space="preserve">14</w:t>
      </w:r>
      <w:r>
        <w:rPr>
          <w:i/>
        </w:rPr>
        <w:t xml:space="preserve"> </w:t>
      </w:r>
      <w:r>
        <w:t xml:space="preserve"> </w:t>
      </w: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2"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6-10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5">
        <w:r>
          <w:rPr>
            <w:rStyle w:val="Hyperlink"/>
            <w:i/>
          </w:rPr>
          <w:t xml:space="preserve">GitHub issue #42</w:t>
        </w:r>
      </w:hyperlink>
      <w:r>
        <w:rPr>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
        </w:rPr>
        <w:t xml:space="preserve">At SCBI, ring-porous</w:t>
      </w:r>
      <w:r>
        <w:rPr>
          <w:i/>
        </w:rPr>
        <w:t xml:space="preserve"> </w:t>
      </w:r>
      <m:oMath>
        <m:r>
          <m:t>D</m:t>
        </m:r>
        <m:r>
          <m:t>O</m:t>
        </m:r>
        <m:sSub>
          <m:e>
            <m:r>
              <m:t>Y</m:t>
            </m:r>
          </m:e>
          <m:sub>
            <m:r>
              <m:t>25</m:t>
            </m:r>
          </m:sub>
        </m:sSub>
      </m:oMath>
      <w:r>
        <w:rPr>
          <w:i/>
        </w:rPr>
        <w:t xml:space="preserve"> </w:t>
      </w:r>
      <w:r>
        <w:rPr>
          <w:i/>
        </w:rPr>
        <w:t xml:space="preserve">and</w:t>
      </w:r>
      <w:r>
        <w:rPr>
          <w:i/>
        </w:rPr>
        <w:t xml:space="preserve"> </w:t>
      </w:r>
      <m:oMath>
        <m:r>
          <m:t>D</m:t>
        </m:r>
        <m:r>
          <m:t>O</m:t>
        </m:r>
        <m:sSub>
          <m:e>
            <m:r>
              <m:t>Y</m:t>
            </m:r>
          </m:e>
          <m:sub>
            <m:r>
              <m:t>50</m:t>
            </m:r>
          </m:sub>
        </m:sSub>
      </m:oMath>
      <w:r>
        <w:rPr>
          <w:i/>
        </w:rPr>
        <w:t xml:space="preserve"> </w:t>
      </w:r>
      <w:r>
        <w:rPr>
          <w:i/>
        </w:rPr>
        <w:t xml:space="preserve">shifted earlier as a result of warmer springs whereas</w:t>
      </w:r>
      <w:r>
        <w:rPr>
          <w:i/>
        </w:rPr>
        <w:t xml:space="preserve"> </w:t>
      </w:r>
      <m:oMath>
        <m:r>
          <m:t>D</m:t>
        </m:r>
        <m:r>
          <m:t>O</m:t>
        </m:r>
        <m:sSub>
          <m:e>
            <m:r>
              <m:t>Y</m:t>
            </m:r>
          </m:e>
          <m:sub>
            <m:r>
              <m:t>75</m:t>
            </m:r>
          </m:sub>
        </m:sSub>
      </m:oMath>
      <w:r>
        <w:rPr>
          <w:i/>
        </w:rPr>
        <w:t xml:space="preserve"> </w:t>
      </w:r>
      <w:r>
        <w:rPr>
          <w:i/>
        </w:rPr>
        <w:t xml:space="preserve">did not shift significantly, resulting in a positive correlation between</w:t>
      </w:r>
      <w:r>
        <w:rPr>
          <w:i/>
        </w:rPr>
        <w:t xml:space="preserve"> </w:t>
      </w:r>
      <m:oMath>
        <m:sSub>
          <m:e>
            <m:r>
              <m:t>L</m:t>
            </m:r>
          </m:e>
          <m:sub>
            <m:r>
              <m:t>P</m:t>
            </m:r>
            <m:r>
              <m:t>G</m:t>
            </m:r>
            <m:r>
              <m:t>S</m:t>
            </m:r>
          </m:sub>
        </m:sSub>
      </m:oMath>
      <w:r>
        <w:rPr>
          <w:i/>
        </w:rPr>
        <w:t xml:space="preserve"> </w:t>
      </w:r>
      <w:r>
        <w:rPr>
          <w:i/>
        </w:rPr>
        <w:t xml:space="preserve">and</w:t>
      </w:r>
      <w:r>
        <w:rPr>
          <w:i/>
        </w:rPr>
        <w:t xml:space="preserve"> </w:t>
      </w:r>
      <m:oMath>
        <m:sSub>
          <m:e>
            <m:r>
              <m:t>T</m:t>
            </m:r>
          </m:e>
          <m:sub>
            <m:r>
              <m:t>m</m:t>
            </m:r>
            <m:r>
              <m:t>a</m:t>
            </m:r>
            <m:r>
              <m:t>x</m:t>
            </m:r>
          </m:sub>
        </m:sSub>
      </m:oMath>
      <w:r>
        <w:rPr>
          <w:i/>
        </w:rPr>
        <w:t xml:space="preserve"> </w:t>
      </w:r>
      <w:r>
        <w:rPr>
          <w:i/>
        </w:rPr>
        <w:t xml:space="preserve">during the critical temperature.</w:t>
      </w:r>
      <w:r>
        <w:t xml:space="preserve"> </w:t>
      </w:r>
      <w:r>
        <w:rPr>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29"/>
    <w:bookmarkStart w:id="3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1"/>
    <w:bookmarkEnd w:id="32"/>
    <w:bookmarkStart w:id="33"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6</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6</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6</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bookmarkEnd w:id="33"/>
    <w:bookmarkStart w:id="34"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4,12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4</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4"/>
    <w:bookmarkStart w:id="43" w:name="methods"/>
    <w:p>
      <w:pPr>
        <w:pStyle w:val="Heading1"/>
      </w:pPr>
      <w:r>
        <w:t xml:space="preserve">Methods</w:t>
      </w:r>
    </w:p>
    <w:bookmarkStart w:id="35"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5"/>
    <w:bookmarkStart w:id="40" w:name="data-collection-and-preparation"/>
    <w:p>
      <w:pPr>
        <w:pStyle w:val="Heading2"/>
      </w:pPr>
      <w:r>
        <w:t xml:space="preserve">Data collection and preparation</w:t>
      </w:r>
    </w:p>
    <w:bookmarkStart w:id="3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6"/>
    <w:bookmarkStart w:id="3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7"/>
    <w:bookmarkStart w:id="39"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8">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bookmarkEnd w:id="39"/>
    <w:bookmarkEnd w:id="40"/>
    <w:bookmarkStart w:id="41"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bookmarkEnd w:id="41"/>
    <w:bookmarkStart w:id="42"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42"/>
    <w:bookmarkEnd w:id="43"/>
    <w:bookmarkStart w:id="44"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4"/>
    <w:bookmarkStart w:id="45" w:name="author-contributions"/>
    <w:p>
      <w:pPr>
        <w:pStyle w:val="Heading1"/>
      </w:pPr>
      <w:r>
        <w:t xml:space="preserve">Author Contributions</w:t>
      </w:r>
    </w:p>
    <w:bookmarkEnd w:id="45"/>
    <w:bookmarkStart w:id="46"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6"/>
    <w:bookmarkStart w:id="77" w:name="references"/>
    <w:p>
      <w:pPr>
        <w:pStyle w:val="Heading1"/>
      </w:pPr>
      <w:r>
        <w:t xml:space="preserve">References</w:t>
      </w:r>
    </w:p>
    <w:bookmarkStart w:id="76" w:name="refs"/>
    <w:bookmarkStart w:id="47" w:name="ref-ibanez_forecasting_2010"/>
    <w:p>
      <w:pPr>
        <w:pStyle w:val="Bibliography"/>
      </w:pPr>
      <w:r>
        <w:t xml:space="preserve">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47"/>
    <w:bookmarkStart w:id="48" w:name="ref-jeong_phenology_2011"/>
    <w:p>
      <w:pPr>
        <w:pStyle w:val="Bibliography"/>
      </w:pPr>
      <w:r>
        <w:t xml:space="preserve">2.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48"/>
    <w:bookmarkStart w:id="49" w:name="ref-crabbe_extreme_2016"/>
    <w:p>
      <w:pPr>
        <w:pStyle w:val="Bibliography"/>
      </w:pPr>
      <w:r>
        <w:t xml:space="preserve">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49"/>
    <w:bookmarkStart w:id="50" w:name="ref-fu_maximum_2019"/>
    <w:p>
      <w:pPr>
        <w:pStyle w:val="Bibliography"/>
      </w:pPr>
      <w:r>
        <w:t xml:space="preserve">4.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0"/>
    <w:bookmarkStart w:id="51" w:name="ref-zohner_ongoing_2019"/>
    <w:p>
      <w:pPr>
        <w:pStyle w:val="Bibliography"/>
      </w:pPr>
      <w:r>
        <w:t xml:space="preserve">5.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1"/>
    <w:bookmarkStart w:id="52" w:name="ref-zani_increased_2020"/>
    <w:p>
      <w:pPr>
        <w:pStyle w:val="Bibliography"/>
      </w:pPr>
      <w:r>
        <w:t xml:space="preserve">6. Zani, D., Crowther, T. W., Mo, L., Renner, S. S. &amp; Zohner, C. M. Increased growing-season productivity drives earlier autumn leaf senescence in temperate trees. 7 (2020).</w:t>
      </w:r>
    </w:p>
    <w:bookmarkEnd w:id="52"/>
    <w:bookmarkStart w:id="53" w:name="ref-bonan_forests_2008"/>
    <w:p>
      <w:pPr>
        <w:pStyle w:val="Bibliography"/>
      </w:pPr>
      <w:r>
        <w:t xml:space="preserve">7.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3"/>
    <w:bookmarkStart w:id="54" w:name="ref-friedlingstein_climatecarbon_2006"/>
    <w:p>
      <w:pPr>
        <w:pStyle w:val="Bibliography"/>
      </w:pPr>
      <w:r>
        <w:t xml:space="preserve">8.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4"/>
    <w:bookmarkStart w:id="55" w:name="ref-parmesan_globally_2003"/>
    <w:p>
      <w:pPr>
        <w:pStyle w:val="Bibliography"/>
      </w:pPr>
      <w:r>
        <w:t xml:space="preserve">9.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5"/>
    <w:bookmarkStart w:id="56"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6"/>
    <w:bookmarkStart w:id="57"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7"/>
    <w:bookmarkStart w:id="58"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8"/>
    <w:bookmarkStart w:id="59"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9"/>
    <w:bookmarkStart w:id="60"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0"/>
    <w:bookmarkStart w:id="62"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1">
        <w:r>
          <w:rPr>
            <w:rStyle w:val="Hyperlink"/>
          </w:rPr>
          <w:t xml:space="preserve">10.1073/pnas.2002713117</w:t>
        </w:r>
      </w:hyperlink>
      <w:r>
        <w:t xml:space="preserve">.</w:t>
      </w:r>
    </w:p>
    <w:bookmarkEnd w:id="62"/>
    <w:bookmarkStart w:id="63"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3"/>
    <w:bookmarkStart w:id="64"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4"/>
    <w:bookmarkStart w:id="65"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5"/>
    <w:bookmarkStart w:id="66" w:name="ref-cook_time_1985"/>
    <w:p>
      <w:pPr>
        <w:pStyle w:val="Bibliography"/>
      </w:pPr>
      <w:r>
        <w:t xml:space="preserve">19. Cook, E. R. A Time Series Analysis Approach to Tree Ring Standardization. vol. PhD (University of Arizona, 1985).</w:t>
      </w:r>
    </w:p>
    <w:bookmarkEnd w:id="66"/>
    <w:bookmarkStart w:id="68"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7">
        <w:r>
          <w:rPr>
            <w:rStyle w:val="Hyperlink"/>
          </w:rPr>
          <w:t xml:space="preserve">10.1007/978-94-015-7879-0</w:t>
        </w:r>
      </w:hyperlink>
      <w:r>
        <w:t xml:space="preserve">.</w:t>
      </w:r>
    </w:p>
    <w:bookmarkEnd w:id="68"/>
    <w:bookmarkStart w:id="69"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69"/>
    <w:bookmarkStart w:id="70"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0"/>
    <w:bookmarkStart w:id="72"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1">
        <w:r>
          <w:rPr>
            <w:rStyle w:val="Hyperlink"/>
          </w:rPr>
          <w:t xml:space="preserve">10.5281/ZENODO.4041609</w:t>
        </w:r>
      </w:hyperlink>
      <w:r>
        <w:t xml:space="preserve">.</w:t>
      </w:r>
    </w:p>
    <w:bookmarkEnd w:id="72"/>
    <w:bookmarkStart w:id="73"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3"/>
    <w:bookmarkStart w:id="74"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4"/>
    <w:bookmarkStart w:id="75"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tiff" /><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7/978-94-015-7879-0" TargetMode="External" /><Relationship Type="http://schemas.openxmlformats.org/officeDocument/2006/relationships/hyperlink" Id="rId61" Target="https://doi.org/10.1073/pnas.2002713117" TargetMode="External" /><Relationship Type="http://schemas.openxmlformats.org/officeDocument/2006/relationships/hyperlink" Id="rId71" Target="https://doi.org/10.5281/ZENODO.4041609"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8"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2021-01-26T21:26:31Z</dcterms:created>
  <dcterms:modified xsi:type="dcterms:W3CDTF">2021-01-26T21:26:31Z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